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2093" w:right="245" w:hanging="1920"/>
        <w:jc w:val="both"/>
        <w:rPr>
          <w:rFonts w:ascii="DFKai-SB" w:cs="DFKai-SB" w:eastAsia="DFKai-SB" w:hAnsi="DFKai-SB"/>
          <w:b w:val="1"/>
          <w:bCs w:val="1"/>
          <w:sz w:val="32"/>
          <w:szCs w:val="32"/>
        </w:rPr>
      </w:pPr>
      <w:r w:rsidDel="00000000" w:rsidR="00000000" w:rsidRPr="00000000">
        <w:rPr>
          <w:rFonts w:ascii="DFKai-SB" w:cs="DFKai-SB" w:eastAsia="DFKai-SB" w:hAnsi="DFKai-SB"/>
          <w:b w:val="1"/>
          <w:bCs w:val="1"/>
          <w:sz w:val="32"/>
          <w:szCs w:val="32"/>
          <w:rtl w:val="0"/>
        </w:rPr>
        <w:t xml:space="preserve">   大和明珠社區機車停車位使用規定暨抽籤作業管理辦法</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3" w:line="360" w:lineRule="auto"/>
        <w:ind w:left="0" w:right="0" w:firstLine="0"/>
        <w:jc w:val="both"/>
        <w:rPr>
          <w:rFonts w:ascii="PMingLiu" w:cs="PMingLiu" w:eastAsia="PMingLiu" w:hAnsi="PMingLiu"/>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sz w:val="28"/>
          <w:szCs w:val="28"/>
          <w:rtl w:val="0"/>
        </w:rPr>
        <w:t xml:space="preserve">一</w:t>
      </w: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、目的：</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3" w:line="360" w:lineRule="auto"/>
        <w:ind w:left="566.9291338582675" w:right="0" w:firstLine="0"/>
        <w:jc w:val="both"/>
        <w:rPr>
          <w:rFonts w:ascii="PMingLiu" w:cs="PMingLiu" w:eastAsia="PMingLiu" w:hAnsi="PMingLiu"/>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為使本大樓地下室一樓公共機車位，得以妥善利用，並維護全體區分所有權人公平權益，特訂定本辦法</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360" w:lineRule="auto"/>
        <w:ind w:left="566.9291338582675" w:right="0" w:hanging="566.9291338582675"/>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二、標的物：</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360" w:lineRule="auto"/>
        <w:ind w:left="566.9291338582675"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社區大樓地下一樓，編號第1至7號之機車停車位。</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69"/>
        </w:tabs>
        <w:spacing w:after="0" w:before="0" w:line="36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三、申請使用資格：</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69"/>
        </w:tabs>
        <w:spacing w:after="0" w:before="0" w:line="360" w:lineRule="auto"/>
        <w:ind w:left="566.9291338582675"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社區所有權人住戶或承租戶(以下均稱住戶)，每一門牌號碼限申請使用一機車停車位。</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69"/>
        </w:tabs>
        <w:spacing w:after="0" w:before="0" w:line="360" w:lineRule="auto"/>
        <w:ind w:left="568" w:right="0" w:hanging="568"/>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四、申請程序及使用期間：</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69"/>
        </w:tabs>
        <w:spacing w:after="0" w:before="0" w:line="360" w:lineRule="auto"/>
        <w:ind w:left="566.9291338582675" w:right="0" w:hanging="425.1968503937007"/>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1、住戶欲使用公共機車停車位者，請於每年度5月1日起5月31日止，向管委會提出使用申請</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69"/>
        </w:tabs>
        <w:spacing w:after="0" w:before="0" w:line="360" w:lineRule="auto"/>
        <w:ind w:left="568" w:right="0" w:hanging="426.26771653543307"/>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2、申請程序，住戶於社區LINE群組提出申請即可，口頭申請不生效力。</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69"/>
        </w:tabs>
        <w:spacing w:after="0" w:before="0" w:line="360" w:lineRule="auto"/>
        <w:ind w:left="566.9291338582675" w:right="0" w:hanging="425.1968503937007"/>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3、無論提出申請使用者是否超過7位住戶，管委會均應於每年度6月30日前，進行公平、公正、公開及透明之抽籤程序，抽出所有申請者之使用機車車位編號，及備取使用者之遞補順序。</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69"/>
        </w:tabs>
        <w:spacing w:after="0" w:before="0" w:line="360" w:lineRule="auto"/>
        <w:ind w:left="568" w:right="0" w:hanging="426.26771653543307"/>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4、抽籤時若申請住戶未到場，則由管委會代行抽籤。</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69"/>
        </w:tabs>
        <w:spacing w:after="0" w:before="0" w:line="360" w:lineRule="auto"/>
        <w:ind w:left="568" w:right="0" w:hanging="426.26771653543307"/>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5、使用期間為 1 年，即自每一年度之7月1日起至翌年6月30日止。</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69"/>
        </w:tabs>
        <w:spacing w:after="0" w:before="0" w:line="360" w:lineRule="auto"/>
        <w:ind w:left="530" w:right="0" w:hanging="388.2677165354331"/>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6、中籤住戶應簽立使用同意書(如附件)並申報機車車號，始符合使用資格。如於中籤後三日內未簽立使用同意書，則由備取順位依序遞補之。</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69"/>
        </w:tabs>
        <w:spacing w:after="0" w:before="0" w:line="360" w:lineRule="auto"/>
        <w:ind w:left="530" w:right="0" w:hanging="388.2677165354331"/>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7、使用期間若有住戶主動終止使用或經管委會終止使用，則由備取順位依序遞補之。</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69"/>
        </w:tabs>
        <w:spacing w:after="0" w:before="0" w:line="360" w:lineRule="auto"/>
        <w:ind w:left="568" w:right="0" w:hanging="568"/>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五、收費標準與收費方式：</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737" w:right="128" w:hanging="62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（一）收費標準：每一停車位每月收取新台幣    元整之清潔管理費。</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8"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（二）收費方式：依社區大樓管理費收費方式併同繳納之。</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8"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六、使用停車場之權益與責任：</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60" w:lineRule="auto"/>
        <w:ind w:left="992.1259842519685" w:right="113" w:hanging="850.3937007874015"/>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（一）車輛進入停車場時，住戶應小心注意，若造成車輛損壞者，管委會不予負責，若因而致停車場設施毀損，住戶應負損害 賠償責任。</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60" w:lineRule="auto"/>
        <w:ind w:left="977" w:right="193" w:hanging="86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（二）車輛停放時，應依使用之停車格號碼停妥車輛，俾確保安全。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2.1259842519685" w:right="192" w:hanging="850.3937007874015"/>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（三）本停車格僅供機車(紅牌及黃牌之重型機車除外)停放之用，不得供非機車停車之任何使用。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360" w:lineRule="auto"/>
        <w:ind w:left="992.1259842519685" w:right="187" w:hanging="850.3937007874015"/>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四）住戶使用期間期滿、主動終止使用權或違反本辦法經管委會公告定期催告改善而不改善遭終止使用權時，住戶應即無條件騰空交還車位予管委會，不得藉故拖延。前開定期催告住戶改善之程序，管委會於社區公共欄內公告住戶違規事由與改善期日即視同完成通知。</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360" w:lineRule="auto"/>
        <w:ind w:left="992.1259842519685" w:right="187" w:hanging="708.6614173228347"/>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(五)</w:t>
      </w:r>
      <w:r w:rsidDel="00000000" w:rsidR="00000000" w:rsidRPr="00000000">
        <w:rPr>
          <w:rFonts w:ascii="DFKai-SB" w:cs="DFKai-SB" w:eastAsia="DFKai-SB" w:hAnsi="DFKai-SB"/>
          <w:sz w:val="28"/>
          <w:szCs w:val="28"/>
          <w:rtl w:val="0"/>
        </w:rPr>
        <w:t xml:space="preserve"> </w:t>
      </w: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依前項規定，住戶應自使用期滿或終止使用之日起至騰空車位交還車位與管委會，住戶若仍占據停車位，則應繳納懲罰性違約金每日新臺幣100 元，按日計算，住戶不得異議。</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0" w:right="0" w:hanging="56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七、因本管理辦法或使用公共機車停車位涉訟時，同意以臺灣台中地方法院為第一審管轄法院。違約住戶並應賠償管委會所支出之委任律師費用。</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60" w:lineRule="auto"/>
        <w:ind w:left="0" w:right="192"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八、本契約如有未盡事宜，依相關法令及住戶公約等規定辦理。</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36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rPr>
          <w:rFonts w:ascii="DFKai-SB" w:cs="DFKai-SB" w:eastAsia="DFKai-SB" w:hAnsi="DFKai-SB"/>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0" w:right="0" w:firstLine="0"/>
        <w:jc w:val="both"/>
        <w:rPr>
          <w:rFonts w:ascii="DFKai-SB" w:cs="DFKai-SB" w:eastAsia="DFKai-SB" w:hAnsi="DFKai-SB"/>
          <w:b w:val="1"/>
          <w:bCs w:val="1"/>
          <w:i w:val="0"/>
          <w:iCs w:val="0"/>
          <w:smallCaps w:val="0"/>
          <w:strike w:val="0"/>
          <w:color w:val="000000"/>
          <w:sz w:val="36"/>
          <w:szCs w:val="36"/>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36"/>
          <w:szCs w:val="36"/>
          <w:u w:val="none"/>
          <w:shd w:fill="auto" w:val="clear"/>
          <w:vertAlign w:val="baseline"/>
          <w:rtl w:val="0"/>
        </w:rPr>
        <w:t xml:space="preserve">                  使用同意書</w:t>
      </w:r>
    </w:p>
    <w:p w:rsidR="00000000" w:rsidDel="00000000" w:rsidP="00000000" w:rsidRDefault="00000000" w:rsidRPr="00000000" w14:paraId="0000001F">
      <w:pPr>
        <w:spacing w:line="360" w:lineRule="auto"/>
        <w:ind w:left="176" w:right="244" w:firstLine="0"/>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本人為大和明珠社區大樓公共機車停車位使用人，使用期間自113年7月1日起迄114年6月30日止，本人願切實遵守「大和明珠社區機車停車位停放規定暨抽籤作業管理辦法」之規定，絕無異議，特立同意書。</w:t>
      </w:r>
    </w:p>
    <w:p w:rsidR="00000000" w:rsidDel="00000000" w:rsidP="00000000" w:rsidRDefault="00000000" w:rsidRPr="00000000" w14:paraId="00000020">
      <w:pPr>
        <w:spacing w:line="360" w:lineRule="auto"/>
        <w:ind w:left="176" w:right="244" w:firstLine="0"/>
        <w:jc w:val="both"/>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21">
      <w:pPr>
        <w:spacing w:line="360" w:lineRule="auto"/>
        <w:ind w:left="176" w:right="244" w:firstLine="0"/>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(1)、1號停車位使用人           、門牌號碼  樓之 、機車車號 </w:t>
      </w:r>
    </w:p>
    <w:p w:rsidR="00000000" w:rsidDel="00000000" w:rsidP="00000000" w:rsidRDefault="00000000" w:rsidRPr="00000000" w14:paraId="00000022">
      <w:pPr>
        <w:spacing w:line="360" w:lineRule="auto"/>
        <w:ind w:left="176" w:right="244" w:firstLine="0"/>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(2)、2號停車位使用人           、門牌號碼  樓之 、機車車號 </w:t>
      </w:r>
    </w:p>
    <w:p w:rsidR="00000000" w:rsidDel="00000000" w:rsidP="00000000" w:rsidRDefault="00000000" w:rsidRPr="00000000" w14:paraId="00000023">
      <w:pPr>
        <w:spacing w:line="360" w:lineRule="auto"/>
        <w:ind w:left="176" w:right="244" w:firstLine="0"/>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(3)、3號停車位使用人           、門牌號碼  樓之 、機車車號 </w:t>
      </w:r>
    </w:p>
    <w:p w:rsidR="00000000" w:rsidDel="00000000" w:rsidP="00000000" w:rsidRDefault="00000000" w:rsidRPr="00000000" w14:paraId="00000024">
      <w:pPr>
        <w:spacing w:line="360" w:lineRule="auto"/>
        <w:ind w:left="176" w:right="244" w:firstLine="0"/>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(4)、4號停車位使用人           、門牌號碼  樓之 、機車車號 </w:t>
      </w:r>
    </w:p>
    <w:p w:rsidR="00000000" w:rsidDel="00000000" w:rsidP="00000000" w:rsidRDefault="00000000" w:rsidRPr="00000000" w14:paraId="00000025">
      <w:pPr>
        <w:spacing w:line="360" w:lineRule="auto"/>
        <w:ind w:left="176" w:right="244" w:firstLine="0"/>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(5)、5號停車位使用人           、門牌號碼  樓之 、機車車號 </w:t>
      </w:r>
    </w:p>
    <w:p w:rsidR="00000000" w:rsidDel="00000000" w:rsidP="00000000" w:rsidRDefault="00000000" w:rsidRPr="00000000" w14:paraId="00000026">
      <w:pPr>
        <w:spacing w:line="360" w:lineRule="auto"/>
        <w:ind w:left="176" w:right="244" w:firstLine="0"/>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(6)、6號停車位使用人           、門牌號碼  樓之 、機車車號 </w:t>
      </w:r>
    </w:p>
    <w:p w:rsidR="00000000" w:rsidDel="00000000" w:rsidP="00000000" w:rsidRDefault="00000000" w:rsidRPr="00000000" w14:paraId="00000027">
      <w:pPr>
        <w:spacing w:line="360" w:lineRule="auto"/>
        <w:ind w:left="176" w:right="244" w:firstLine="0"/>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(7)、7號停車位使用人           、門牌號碼  樓之 、機車車號 </w:t>
      </w:r>
    </w:p>
    <w:p w:rsidR="00000000" w:rsidDel="00000000" w:rsidP="00000000" w:rsidRDefault="00000000" w:rsidRPr="00000000" w14:paraId="00000028">
      <w:pPr>
        <w:spacing w:line="360" w:lineRule="auto"/>
        <w:ind w:left="176" w:right="244" w:firstLine="0"/>
        <w:jc w:val="both"/>
        <w:rPr>
          <w:rFonts w:ascii="DFKai-SB" w:cs="DFKai-SB" w:eastAsia="DFKai-SB" w:hAnsi="DFKai-SB"/>
          <w:sz w:val="28"/>
          <w:szCs w:val="28"/>
        </w:rPr>
      </w:pPr>
      <w:r w:rsidDel="00000000" w:rsidR="00000000" w:rsidRPr="00000000">
        <w:rPr>
          <w:rtl w:val="0"/>
        </w:rPr>
      </w:r>
    </w:p>
    <w:sectPr>
      <w:footerReference r:id="rId6" w:type="default"/>
      <w:pgSz w:h="16840" w:w="11900" w:orient="portrait"/>
      <w:pgMar w:bottom="760" w:top="1380" w:left="1300" w:right="1220" w:header="0" w:footer="57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SimSun"/>
  <w:font w:name="Georgia"/>
  <w:font w:name="DFKai-SB"/>
  <w:font w:name="PMingLiu"/>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SimSun" w:cs="SimSun" w:eastAsia="SimSun" w:hAnsi="SimSu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2870200</wp:posOffset>
              </wp:positionH>
              <wp:positionV relativeFrom="paragraph">
                <wp:posOffset>10172700</wp:posOffset>
              </wp:positionV>
              <wp:extent cx="149225" cy="161925"/>
              <wp:effectExtent b="0" l="0" r="0" t="0"/>
              <wp:wrapNone/>
              <wp:docPr id="1" name=""/>
              <a:graphic>
                <a:graphicData uri="http://schemas.microsoft.com/office/word/2010/wordprocessingShape">
                  <wps:wsp>
                    <wps:cNvSpPr/>
                    <wps:cNvPr id="2" name="Shape 2"/>
                    <wps:spPr>
                      <a:xfrm>
                        <a:off x="5276150" y="3703800"/>
                        <a:ext cx="139700" cy="152400"/>
                      </a:xfrm>
                      <a:prstGeom prst="rect">
                        <a:avLst/>
                      </a:prstGeom>
                      <a:noFill/>
                      <a:ln>
                        <a:noFill/>
                      </a:ln>
                    </wps:spPr>
                    <wps:txbx>
                      <w:txbxContent>
                        <w:p w:rsidR="00000000" w:rsidDel="00000000" w:rsidP="00000000" w:rsidRDefault="00000000" w:rsidRPr="00000000">
                          <w:pPr>
                            <w:spacing w:after="0" w:before="0" w:line="222.00000286102295"/>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w:t>
                          </w:r>
                          <w:r w:rsidDel="00000000" w:rsidR="00000000" w:rsidRPr="00000000">
                            <w:rPr>
                              <w:rFonts w:ascii="SimSun" w:cs="SimSun" w:eastAsia="SimSun" w:hAnsi="SimSun"/>
                              <w:b w:val="0"/>
                              <w:i w:val="0"/>
                              <w:smallCaps w:val="0"/>
                              <w:strike w:val="0"/>
                              <w:color w:val="000000"/>
                              <w:sz w:val="22"/>
                              <w:vertAlign w:val="baseline"/>
                            </w:rPr>
                            <w:t xml:space="preserve">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2870200</wp:posOffset>
              </wp:positionH>
              <wp:positionV relativeFrom="paragraph">
                <wp:posOffset>10172700</wp:posOffset>
              </wp:positionV>
              <wp:extent cx="149225" cy="16192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49225" cy="1619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imSun" w:cs="SimSun" w:eastAsia="SimSun" w:hAnsi="SimSun"/>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