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Microsoft JhengHei" w:cs="Microsoft JhengHei" w:eastAsia="Microsoft JhengHei" w:hAnsi="Microsoft JhengHei"/>
          <w:b w:val="1"/>
          <w:bCs w:val="1"/>
          <w:color w:val="ff0000"/>
          <w:sz w:val="60"/>
          <w:szCs w:val="6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bCs w:val="1"/>
          <w:color w:val="ff0000"/>
          <w:sz w:val="60"/>
          <w:szCs w:val="60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1143000</wp:posOffset>
            </wp:positionH>
            <wp:positionV relativeFrom="page">
              <wp:posOffset>1222381</wp:posOffset>
            </wp:positionV>
            <wp:extent cx="5856586" cy="8247177"/>
            <wp:effectExtent b="0" l="0" r="0" t="0"/>
            <wp:wrapTopAndBottom distB="0" dist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6586" cy="82471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bCs w:val="1"/>
          <w:color w:val="ff0000"/>
          <w:sz w:val="60"/>
          <w:szCs w:val="60"/>
          <w:rtl w:val="0"/>
        </w:rPr>
        <w:t xml:space="preserve">大和明珠社區公告</w:t>
      </w:r>
    </w:p>
    <w:p w:rsidR="00000000" w:rsidDel="00000000" w:rsidP="00000000" w:rsidRDefault="00000000" w:rsidRPr="00000000" w14:paraId="00000002">
      <w:pPr>
        <w:rPr>
          <w:rFonts w:ascii="Microsoft JhengHei" w:cs="Microsoft JhengHei" w:eastAsia="Microsoft JhengHei" w:hAnsi="Microsoft JhengHe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314325</wp:posOffset>
            </wp:positionH>
            <wp:positionV relativeFrom="paragraph">
              <wp:posOffset>467849</wp:posOffset>
            </wp:positionV>
            <wp:extent cx="5943600" cy="8674100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7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Microsoft JhengHei" w:cs="Microsoft JhengHei" w:eastAsia="Microsoft JhengHei" w:hAnsi="Microsoft JhengHei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.0000000000002" w:top="566.929133858267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icrosoft JhengHe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